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630" w:rsidRPr="00A60376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A60376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60376" w:rsidRPr="00A60376">
        <w:rPr>
          <w:rFonts w:ascii="Arial" w:hAnsi="Arial" w:cs="Arial"/>
          <w:b/>
          <w:sz w:val="24"/>
          <w:szCs w:val="24"/>
          <w:lang w:eastAsia="zh-CN"/>
        </w:rPr>
        <w:t>10</w:t>
      </w:r>
      <w:r w:rsidR="00DD3E91">
        <w:rPr>
          <w:rFonts w:ascii="Arial" w:hAnsi="Arial" w:cs="Arial"/>
          <w:b/>
          <w:sz w:val="24"/>
          <w:szCs w:val="24"/>
          <w:lang w:eastAsia="zh-CN"/>
        </w:rPr>
        <w:t>4</w:t>
      </w:r>
      <w:r w:rsidR="00A60376" w:rsidRPr="00A60376">
        <w:rPr>
          <w:rFonts w:ascii="Arial" w:hAnsi="Arial" w:cs="Arial"/>
          <w:b/>
          <w:sz w:val="24"/>
          <w:szCs w:val="24"/>
          <w:lang w:eastAsia="zh-CN"/>
        </w:rPr>
        <w:t>-e</w:t>
      </w:r>
      <w:r w:rsidRPr="00A60376">
        <w:rPr>
          <w:rFonts w:ascii="Arial" w:eastAsia="MS Mincho" w:hAnsi="Arial" w:cs="Arial"/>
          <w:b/>
          <w:sz w:val="24"/>
          <w:szCs w:val="24"/>
        </w:rPr>
        <w:tab/>
      </w:r>
      <w:r w:rsidR="00CA5B3E" w:rsidRPr="00CA5B3E">
        <w:rPr>
          <w:rFonts w:ascii="Arial" w:eastAsia="MS Mincho" w:hAnsi="Arial" w:cs="Arial"/>
          <w:b/>
          <w:sz w:val="24"/>
          <w:szCs w:val="24"/>
        </w:rPr>
        <w:t>R4-2214324</w:t>
      </w:r>
      <w:bookmarkStart w:id="0" w:name="_GoBack"/>
      <w:bookmarkEnd w:id="0"/>
    </w:p>
    <w:p w:rsidR="0068254F" w:rsidRPr="00A60376" w:rsidRDefault="00A6037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A60376">
        <w:rPr>
          <w:rFonts w:ascii="Arial" w:eastAsia="MS Mincho" w:hAnsi="Arial" w:cs="Arial"/>
          <w:b/>
          <w:sz w:val="24"/>
          <w:lang w:eastAsia="zh-CN"/>
        </w:rPr>
        <w:t xml:space="preserve">Electronic Meeting, </w:t>
      </w:r>
      <w:r w:rsidR="00DD3E91" w:rsidRPr="00DD3E91">
        <w:rPr>
          <w:rFonts w:ascii="Arial" w:eastAsia="MS Mincho" w:hAnsi="Arial" w:cs="Arial"/>
          <w:b/>
          <w:sz w:val="24"/>
          <w:lang w:eastAsia="zh-CN"/>
        </w:rPr>
        <w:t>15 – 26 August</w:t>
      </w:r>
      <w:r w:rsidRPr="00A60376">
        <w:rPr>
          <w:rFonts w:ascii="Arial" w:eastAsia="MS Mincho" w:hAnsi="Arial" w:cs="Arial"/>
          <w:b/>
          <w:sz w:val="24"/>
          <w:lang w:eastAsia="zh-CN"/>
        </w:rPr>
        <w:t>, 2022</w:t>
      </w:r>
    </w:p>
    <w:p w:rsidR="00E61455" w:rsidRPr="00A6037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60376">
        <w:rPr>
          <w:rFonts w:ascii="Arial" w:hAnsi="Arial" w:cs="Arial"/>
          <w:b/>
          <w:sz w:val="22"/>
        </w:rPr>
        <w:t xml:space="preserve">Title: </w:t>
      </w:r>
      <w:r w:rsidRPr="00A60376">
        <w:rPr>
          <w:rFonts w:ascii="Arial" w:hAnsi="Arial" w:cs="Arial"/>
          <w:b/>
          <w:sz w:val="22"/>
        </w:rPr>
        <w:tab/>
      </w:r>
      <w:r w:rsidR="00A60376" w:rsidRPr="00A60376">
        <w:rPr>
          <w:rFonts w:ascii="Arial" w:hAnsi="Arial" w:cs="Arial"/>
          <w:sz w:val="22"/>
          <w:lang w:eastAsia="zh-CN"/>
        </w:rPr>
        <w:t>WF on R15 and R16 RRM maintenance</w:t>
      </w:r>
    </w:p>
    <w:p w:rsidR="00E61455" w:rsidRPr="00A60376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60376">
        <w:rPr>
          <w:rFonts w:ascii="Arial" w:hAnsi="Arial" w:cs="Arial"/>
          <w:b/>
          <w:sz w:val="22"/>
        </w:rPr>
        <w:t>Agenda Item:</w:t>
      </w:r>
      <w:r w:rsidRPr="00A60376">
        <w:rPr>
          <w:rFonts w:ascii="Arial" w:hAnsi="Arial" w:cs="Arial"/>
          <w:b/>
          <w:sz w:val="22"/>
        </w:rPr>
        <w:tab/>
      </w:r>
      <w:r w:rsidR="00DD3E91">
        <w:rPr>
          <w:rFonts w:ascii="Arial" w:hAnsi="Arial" w:cs="Arial"/>
          <w:sz w:val="22"/>
          <w:lang w:eastAsia="zh-CN"/>
        </w:rPr>
        <w:t>4.</w:t>
      </w:r>
      <w:r w:rsidR="00A60376" w:rsidRPr="00A60376">
        <w:rPr>
          <w:rFonts w:ascii="Arial" w:hAnsi="Arial" w:cs="Arial"/>
          <w:sz w:val="22"/>
          <w:lang w:eastAsia="zh-CN"/>
        </w:rPr>
        <w:t>5</w:t>
      </w:r>
    </w:p>
    <w:p w:rsidR="00D84BD0" w:rsidRPr="00A60376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60376">
        <w:rPr>
          <w:rFonts w:ascii="Arial" w:hAnsi="Arial" w:cs="Arial"/>
          <w:b/>
          <w:sz w:val="22"/>
        </w:rPr>
        <w:t xml:space="preserve">Source: </w:t>
      </w:r>
      <w:r w:rsidRPr="00A60376">
        <w:rPr>
          <w:rFonts w:ascii="Arial" w:hAnsi="Arial" w:cs="Arial"/>
          <w:b/>
          <w:sz w:val="22"/>
        </w:rPr>
        <w:tab/>
      </w:r>
      <w:r w:rsidR="00A60376" w:rsidRPr="00A60376">
        <w:rPr>
          <w:rFonts w:ascii="Arial" w:hAnsi="Arial" w:cs="Arial"/>
          <w:b/>
          <w:sz w:val="22"/>
        </w:rPr>
        <w:t>Huawei, Hisilicon</w:t>
      </w:r>
    </w:p>
    <w:p w:rsidR="00E61455" w:rsidRPr="00A6037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60376">
        <w:rPr>
          <w:rFonts w:ascii="Arial" w:hAnsi="Arial" w:cs="Arial"/>
          <w:b/>
          <w:sz w:val="22"/>
        </w:rPr>
        <w:t>Document for:</w:t>
      </w:r>
      <w:r w:rsidRPr="00A60376">
        <w:rPr>
          <w:rFonts w:ascii="Arial" w:hAnsi="Arial" w:cs="Arial"/>
          <w:b/>
          <w:sz w:val="22"/>
        </w:rPr>
        <w:tab/>
      </w:r>
      <w:r w:rsidR="00280D59" w:rsidRPr="00A60376">
        <w:rPr>
          <w:rFonts w:ascii="Arial" w:hAnsi="Arial" w:cs="Arial"/>
          <w:sz w:val="22"/>
          <w:lang w:eastAsia="zh-CN"/>
        </w:rPr>
        <w:t>Approval</w:t>
      </w:r>
    </w:p>
    <w:p w:rsidR="00A60376" w:rsidRPr="00A60376" w:rsidRDefault="00A60376" w:rsidP="00A60376">
      <w:pPr>
        <w:pStyle w:val="1"/>
        <w:rPr>
          <w:sz w:val="28"/>
          <w:szCs w:val="28"/>
        </w:rPr>
      </w:pPr>
      <w:r w:rsidRPr="00A60376">
        <w:rPr>
          <w:sz w:val="28"/>
          <w:szCs w:val="28"/>
        </w:rPr>
        <w:t>Topic #1: Rel-15 NR RRM maintenance</w:t>
      </w:r>
    </w:p>
    <w:p w:rsidR="00A60376" w:rsidRPr="00DD3E91" w:rsidRDefault="00A60376" w:rsidP="00DD3E91">
      <w:pPr>
        <w:pStyle w:val="2"/>
        <w:rPr>
          <w:sz w:val="24"/>
          <w:szCs w:val="24"/>
        </w:rPr>
      </w:pPr>
      <w:r w:rsidRPr="00A60376">
        <w:rPr>
          <w:sz w:val="24"/>
          <w:szCs w:val="24"/>
        </w:rPr>
        <w:t xml:space="preserve">Sub-topic 1-1: </w:t>
      </w:r>
      <w:r w:rsidR="00DD3E91" w:rsidRPr="00DD3E91">
        <w:rPr>
          <w:sz w:val="24"/>
          <w:szCs w:val="24"/>
          <w:lang w:val="en-US"/>
        </w:rPr>
        <w:t>Applicability of FR1+FR2 test</w:t>
      </w:r>
    </w:p>
    <w:p w:rsidR="00754794" w:rsidRDefault="00A60376" w:rsidP="00754794">
      <w:pPr>
        <w:pStyle w:val="4"/>
        <w:numPr>
          <w:ilvl w:val="0"/>
          <w:numId w:val="0"/>
        </w:numPr>
        <w:ind w:left="864" w:hanging="864"/>
      </w:pPr>
      <w:r w:rsidRPr="00A60376">
        <w:rPr>
          <w:lang w:val="en-US"/>
        </w:rPr>
        <w:t xml:space="preserve">Issue 1-1-1: </w:t>
      </w:r>
      <w:r w:rsidR="00DD3E91" w:rsidRPr="00DD3E91">
        <w:t>Applicability of the test considering FR1+FR2 testability</w:t>
      </w:r>
    </w:p>
    <w:p w:rsidR="00754794" w:rsidRPr="00045F0C" w:rsidRDefault="00045F0C" w:rsidP="00045F0C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A</w:t>
      </w:r>
      <w:r w:rsidR="00754794" w:rsidRPr="00045F0C">
        <w:rPr>
          <w:lang w:eastAsia="zh-CN"/>
        </w:rPr>
        <w:t xml:space="preserve">dd A.5.7.1.3 and A.7.7.1.3 in A.3.13A to allow UE not to pass the tests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378"/>
      </w:tblGrid>
      <w:tr w:rsidR="00754794" w:rsidTr="0075738A">
        <w:trPr>
          <w:jc w:val="center"/>
        </w:trPr>
        <w:tc>
          <w:tcPr>
            <w:tcW w:w="1134" w:type="dxa"/>
            <w:shd w:val="clear" w:color="auto" w:fill="auto"/>
          </w:tcPr>
          <w:p w:rsidR="00754794" w:rsidRPr="0075738A" w:rsidRDefault="00754794" w:rsidP="0075738A">
            <w:pPr>
              <w:spacing w:after="0"/>
              <w:rPr>
                <w:iCs/>
                <w:sz w:val="16"/>
                <w:szCs w:val="16"/>
              </w:rPr>
            </w:pPr>
            <w:r w:rsidRPr="0075738A">
              <w:rPr>
                <w:iCs/>
                <w:sz w:val="16"/>
                <w:szCs w:val="16"/>
              </w:rPr>
              <w:t>A.5.7.1.3</w:t>
            </w:r>
          </w:p>
        </w:tc>
        <w:tc>
          <w:tcPr>
            <w:tcW w:w="6378" w:type="dxa"/>
            <w:shd w:val="clear" w:color="auto" w:fill="auto"/>
          </w:tcPr>
          <w:p w:rsidR="00754794" w:rsidRPr="0075738A" w:rsidRDefault="00754794" w:rsidP="0075738A">
            <w:pPr>
              <w:spacing w:after="0"/>
              <w:rPr>
                <w:iCs/>
                <w:sz w:val="16"/>
                <w:szCs w:val="16"/>
              </w:rPr>
            </w:pPr>
            <w:r w:rsidRPr="0075738A">
              <w:rPr>
                <w:iCs/>
                <w:sz w:val="16"/>
                <w:szCs w:val="16"/>
              </w:rPr>
              <w:t>EN-DC inter-frequency measurement accuracy with FR1 serving cell and FR2 target cell</w:t>
            </w:r>
          </w:p>
        </w:tc>
      </w:tr>
      <w:tr w:rsidR="00754794" w:rsidTr="0075738A">
        <w:trPr>
          <w:jc w:val="center"/>
        </w:trPr>
        <w:tc>
          <w:tcPr>
            <w:tcW w:w="1134" w:type="dxa"/>
            <w:shd w:val="clear" w:color="auto" w:fill="auto"/>
          </w:tcPr>
          <w:p w:rsidR="00754794" w:rsidRPr="0075738A" w:rsidRDefault="00754794" w:rsidP="0075738A">
            <w:pPr>
              <w:spacing w:after="0"/>
              <w:rPr>
                <w:iCs/>
                <w:sz w:val="16"/>
                <w:szCs w:val="16"/>
              </w:rPr>
            </w:pPr>
            <w:r w:rsidRPr="0075738A">
              <w:rPr>
                <w:iCs/>
                <w:sz w:val="16"/>
                <w:szCs w:val="16"/>
              </w:rPr>
              <w:t>A.7.7.1.3</w:t>
            </w:r>
          </w:p>
        </w:tc>
        <w:tc>
          <w:tcPr>
            <w:tcW w:w="6378" w:type="dxa"/>
            <w:shd w:val="clear" w:color="auto" w:fill="auto"/>
          </w:tcPr>
          <w:p w:rsidR="00754794" w:rsidRPr="0075738A" w:rsidRDefault="00754794" w:rsidP="0075738A">
            <w:pPr>
              <w:spacing w:after="0"/>
              <w:rPr>
                <w:iCs/>
                <w:sz w:val="16"/>
                <w:szCs w:val="16"/>
              </w:rPr>
            </w:pPr>
            <w:r w:rsidRPr="0075738A">
              <w:rPr>
                <w:snapToGrid w:val="0"/>
                <w:sz w:val="16"/>
                <w:szCs w:val="16"/>
              </w:rPr>
              <w:t>SA inter-frequency measurement accuracy with FR1 serving cell and FR2 target cell</w:t>
            </w:r>
          </w:p>
        </w:tc>
      </w:tr>
    </w:tbl>
    <w:p w:rsidR="00DD3E91" w:rsidRPr="00DD3E91" w:rsidRDefault="00DD3E91" w:rsidP="00DD3E91">
      <w:pPr>
        <w:pStyle w:val="2"/>
        <w:rPr>
          <w:sz w:val="24"/>
          <w:szCs w:val="24"/>
        </w:rPr>
      </w:pPr>
      <w:r w:rsidRPr="00DD3E91">
        <w:rPr>
          <w:sz w:val="24"/>
          <w:szCs w:val="24"/>
        </w:rPr>
        <w:t xml:space="preserve">Sub-topic 1-2: </w:t>
      </w:r>
      <w:r w:rsidR="00754794" w:rsidRPr="00754794">
        <w:rPr>
          <w:sz w:val="24"/>
          <w:szCs w:val="24"/>
        </w:rPr>
        <w:t>Margin in relative accuracy for FR2 inter-frequency RSRP tests</w:t>
      </w:r>
    </w:p>
    <w:p w:rsidR="00A60376" w:rsidRPr="00A60376" w:rsidRDefault="00A60376" w:rsidP="00A60376">
      <w:pPr>
        <w:pStyle w:val="4"/>
        <w:numPr>
          <w:ilvl w:val="0"/>
          <w:numId w:val="0"/>
        </w:numPr>
        <w:ind w:left="864" w:hanging="864"/>
      </w:pPr>
      <w:r w:rsidRPr="00A60376">
        <w:rPr>
          <w:lang w:val="en-US"/>
        </w:rPr>
        <w:t xml:space="preserve">Issue 1-1-2: </w:t>
      </w:r>
      <w:r w:rsidR="00754794" w:rsidRPr="00754794">
        <w:t>Whether to add E to the upper bound</w:t>
      </w:r>
    </w:p>
    <w:p w:rsidR="00754794" w:rsidRPr="00A60376" w:rsidRDefault="00754794" w:rsidP="00754794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54794">
        <w:rPr>
          <w:lang w:eastAsia="zh-CN"/>
        </w:rPr>
        <w:t>Add additional margins E=[3]dB to the upper bound for FR2 inter-frequency relative RSRP accuracy test requirements</w:t>
      </w:r>
    </w:p>
    <w:p w:rsidR="00A60376" w:rsidRPr="00A60376" w:rsidRDefault="00A60376" w:rsidP="00A60376">
      <w:pPr>
        <w:pStyle w:val="1"/>
        <w:rPr>
          <w:sz w:val="28"/>
          <w:szCs w:val="28"/>
        </w:rPr>
      </w:pPr>
      <w:r w:rsidRPr="00A60376">
        <w:rPr>
          <w:sz w:val="28"/>
          <w:szCs w:val="28"/>
        </w:rPr>
        <w:t>Topic</w:t>
      </w:r>
      <w:r w:rsidR="00754794">
        <w:rPr>
          <w:sz w:val="28"/>
          <w:szCs w:val="28"/>
        </w:rPr>
        <w:t xml:space="preserve"> #2: Rel-16 NR RRM maintenance</w:t>
      </w:r>
    </w:p>
    <w:p w:rsidR="00A60376" w:rsidRPr="00A60376" w:rsidRDefault="00A60376" w:rsidP="00A60376">
      <w:pPr>
        <w:pStyle w:val="2"/>
        <w:rPr>
          <w:sz w:val="24"/>
          <w:szCs w:val="24"/>
        </w:rPr>
      </w:pPr>
      <w:r w:rsidRPr="00A60376">
        <w:rPr>
          <w:sz w:val="24"/>
          <w:szCs w:val="24"/>
        </w:rPr>
        <w:t>Sub-topic 2-1: eMIMO</w:t>
      </w:r>
    </w:p>
    <w:p w:rsidR="00A60376" w:rsidRPr="00A60376" w:rsidRDefault="00A60376" w:rsidP="00A60376">
      <w:pPr>
        <w:pStyle w:val="4"/>
        <w:numPr>
          <w:ilvl w:val="0"/>
          <w:numId w:val="0"/>
        </w:numPr>
        <w:rPr>
          <w:lang w:val="en-US"/>
        </w:rPr>
      </w:pPr>
      <w:r w:rsidRPr="00A60376">
        <w:rPr>
          <w:lang w:val="en-US"/>
        </w:rPr>
        <w:t>Issue 2-1-1: FR2 PL-RS switching delay when the target PL-RS is SSB and used for L1-RSRP measurements</w:t>
      </w:r>
    </w:p>
    <w:p w:rsidR="00754794" w:rsidRPr="00045F0C" w:rsidRDefault="00045F0C" w:rsidP="00045F0C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Postpone</w:t>
      </w:r>
      <w:r w:rsidR="00754794" w:rsidRPr="00045F0C">
        <w:rPr>
          <w:lang w:eastAsia="zh-CN"/>
        </w:rPr>
        <w:t xml:space="preserve"> until the issue is concluded in Rel-17 feMIMO. </w:t>
      </w:r>
    </w:p>
    <w:p w:rsidR="00A60376" w:rsidRPr="00A60376" w:rsidRDefault="00A60376" w:rsidP="00A60376">
      <w:pPr>
        <w:pStyle w:val="2"/>
        <w:rPr>
          <w:sz w:val="24"/>
          <w:szCs w:val="24"/>
        </w:rPr>
      </w:pPr>
      <w:r w:rsidRPr="00A60376">
        <w:rPr>
          <w:sz w:val="24"/>
          <w:szCs w:val="24"/>
        </w:rPr>
        <w:t>Sub-topic 2-2: Positioning</w:t>
      </w:r>
    </w:p>
    <w:p w:rsidR="00A60376" w:rsidRPr="00A60376" w:rsidRDefault="00A60376" w:rsidP="00A60376">
      <w:pPr>
        <w:pStyle w:val="4"/>
        <w:numPr>
          <w:ilvl w:val="0"/>
          <w:numId w:val="0"/>
        </w:numPr>
        <w:ind w:left="864" w:hanging="864"/>
      </w:pPr>
      <w:r w:rsidRPr="00A60376">
        <w:t>Issue 2-2-1: Start of measurement period for deferred MT-LR</w:t>
      </w:r>
    </w:p>
    <w:p w:rsidR="00A60376" w:rsidRPr="00A60376" w:rsidRDefault="00A60376" w:rsidP="00A60376">
      <w:pPr>
        <w:rPr>
          <w:i/>
          <w:color w:val="0070C0"/>
          <w:lang w:val="en-US" w:eastAsia="zh-CN"/>
        </w:rPr>
      </w:pPr>
      <w:r w:rsidRPr="00A60376">
        <w:rPr>
          <w:rFonts w:hint="eastAsia"/>
          <w:i/>
          <w:color w:val="0070C0"/>
          <w:lang w:val="en-US" w:eastAsia="zh-CN"/>
        </w:rPr>
        <w:t>Candidate options:</w:t>
      </w:r>
      <w:r w:rsidRPr="00A60376">
        <w:rPr>
          <w:i/>
          <w:color w:val="0070C0"/>
          <w:lang w:val="en-US" w:eastAsia="zh-CN"/>
        </w:rPr>
        <w:t xml:space="preserve"> </w:t>
      </w:r>
    </w:p>
    <w:p w:rsidR="00754794" w:rsidRDefault="00754794" w:rsidP="00754794">
      <w:pPr>
        <w:pStyle w:val="aa"/>
        <w:numPr>
          <w:ilvl w:val="1"/>
          <w:numId w:val="34"/>
        </w:numPr>
        <w:spacing w:after="120" w:line="259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 (HW, CATT, E///, Nokia)</w:t>
      </w:r>
    </w:p>
    <w:p w:rsidR="00754794" w:rsidRDefault="00754794" w:rsidP="00754794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For the event of periodic location in deferred MT-LR, update the start point of measurement period as:</w:t>
      </w:r>
    </w:p>
    <w:p w:rsidR="00754794" w:rsidRDefault="00754794" w:rsidP="00754794">
      <w:pPr>
        <w:pStyle w:val="aa"/>
        <w:numPr>
          <w:ilvl w:val="3"/>
          <w:numId w:val="34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szCs w:val="24"/>
          <w:lang w:eastAsia="zh-CN"/>
        </w:rPr>
      </w:pPr>
      <w:r w:rsidRPr="00754794">
        <w:rPr>
          <w:lang w:eastAsia="zh-CN"/>
        </w:rPr>
        <w:t>the time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RSTD,Total</m:t>
            </m:r>
          </m:sub>
        </m:sSub>
      </m:oMath>
      <w:r w:rsidRPr="00754794">
        <w:rPr>
          <w:i/>
          <w:lang w:eastAsia="zh-CN"/>
        </w:rPr>
        <w:t xml:space="preserve"> </w:t>
      </w:r>
      <w:r w:rsidRPr="00754794">
        <w:rPr>
          <w:lang w:eastAsia="zh-CN"/>
        </w:rPr>
        <w:t>starts from the first MG instance aligned with a DL PRS resource(s) in the assistance data after the associated event(s) occurs.</w:t>
      </w:r>
    </w:p>
    <w:p w:rsidR="00754794" w:rsidRDefault="00754794" w:rsidP="00754794">
      <w:pPr>
        <w:pStyle w:val="aa"/>
        <w:numPr>
          <w:ilvl w:val="1"/>
          <w:numId w:val="34"/>
        </w:numPr>
        <w:spacing w:after="120" w:line="259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 (QC)</w:t>
      </w:r>
    </w:p>
    <w:p w:rsidR="00754794" w:rsidRDefault="00754794" w:rsidP="00754794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For the event of periodic location in deferred MT-LR, update the start point of measurement period as:</w:t>
      </w:r>
    </w:p>
    <w:p w:rsidR="00754794" w:rsidRPr="00A25747" w:rsidRDefault="00754794" w:rsidP="00754794">
      <w:pPr>
        <w:pStyle w:val="aa"/>
        <w:numPr>
          <w:ilvl w:val="3"/>
          <w:numId w:val="34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szCs w:val="24"/>
          <w:lang w:eastAsia="zh-CN"/>
        </w:rPr>
      </w:pPr>
      <w:r w:rsidRPr="00A25747">
        <w:rPr>
          <w:szCs w:val="24"/>
          <w:lang w:val="sv-SE" w:eastAsia="zh-CN"/>
        </w:rPr>
        <w:t xml:space="preserve">For deferred MT-LR with “Periodic Location” as defined in clause 4.1a.5.1 [TS 23.273], the UE shall finish the measurements by time </w:t>
      </w:r>
      <m:oMath>
        <m:r>
          <w:rPr>
            <w:rFonts w:ascii="Cambria Math" w:hAnsi="Cambria Math"/>
            <w:szCs w:val="24"/>
            <w:lang w:val="sv-SE" w:eastAsia="zh-CN"/>
          </w:rPr>
          <m:t>T</m:t>
        </m:r>
      </m:oMath>
      <w:r w:rsidRPr="00A25747">
        <w:rPr>
          <w:szCs w:val="24"/>
          <w:lang w:val="sv-SE" w:eastAsia="zh-CN"/>
        </w:rPr>
        <w:t xml:space="preserve"> where </w:t>
      </w:r>
      <m:oMath>
        <m:r>
          <w:rPr>
            <w:rFonts w:ascii="Cambria Math" w:hAnsi="Cambria Math"/>
            <w:szCs w:val="24"/>
            <w:lang w:val="sv-SE" w:eastAsia="zh-CN"/>
          </w:rPr>
          <m:t>T</m:t>
        </m:r>
      </m:oMath>
      <w:r w:rsidRPr="00A25747">
        <w:rPr>
          <w:szCs w:val="24"/>
          <w:lang w:val="sv-SE" w:eastAsia="zh-CN"/>
        </w:rPr>
        <w:t xml:space="preserve"> is the time when “Periodic Location” event occurs. The requirements apply when the time T is known by the UE no later than </w:t>
      </w:r>
      <m:oMath>
        <m:sSub>
          <m:sSubPr>
            <m:ctrlPr>
              <w:rPr>
                <w:rFonts w:ascii="Cambria Math" w:hAnsi="Cambria Math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val="sv-SE" w:eastAsia="zh-CN"/>
              </w:rPr>
              <m:t>T</m:t>
            </m:r>
          </m:e>
          <m:sub>
            <m:r>
              <w:rPr>
                <w:rFonts w:ascii="Cambria Math" w:hAnsi="Cambria Math"/>
                <w:szCs w:val="24"/>
                <w:lang w:val="sv-SE" w:eastAsia="zh-CN"/>
              </w:rPr>
              <m:t>ref</m:t>
            </m:r>
          </m:sub>
        </m:sSub>
      </m:oMath>
      <w:r w:rsidRPr="00A25747">
        <w:rPr>
          <w:szCs w:val="24"/>
          <w:lang w:val="sv-SE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val="sv-SE" w:eastAsia="zh-CN"/>
              </w:rPr>
              <m:t>T</m:t>
            </m:r>
          </m:e>
          <m:sub>
            <m:r>
              <w:rPr>
                <w:rFonts w:ascii="Cambria Math" w:hAnsi="Cambria Math"/>
                <w:szCs w:val="24"/>
                <w:lang w:val="sv-SE" w:eastAsia="zh-CN"/>
              </w:rPr>
              <m:t>ref</m:t>
            </m:r>
          </m:sub>
        </m:sSub>
        <m:r>
          <w:rPr>
            <w:rFonts w:ascii="Cambria Math" w:hAnsi="Cambria Math"/>
            <w:szCs w:val="24"/>
            <w:lang w:val="sv-SE" w:eastAsia="zh-CN"/>
          </w:rPr>
          <m:t>=T-</m:t>
        </m:r>
        <m:sSub>
          <m:sSubPr>
            <m:ctrlPr>
              <w:rPr>
                <w:rFonts w:ascii="Cambria Math" w:hAnsi="Cambria Math"/>
                <w:i/>
                <w:iCs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val="sv-SE" w:eastAsia="zh-CN"/>
              </w:rPr>
              <m:t>T</m:t>
            </m:r>
          </m:e>
          <m:sub>
            <m:r>
              <w:rPr>
                <w:rFonts w:ascii="Cambria Math" w:hAnsi="Cambria Math"/>
                <w:szCs w:val="24"/>
                <w:lang w:val="sv-SE" w:eastAsia="zh-CN"/>
              </w:rPr>
              <m:t>RSTD,Total</m:t>
            </m:r>
          </m:sub>
        </m:sSub>
        <m:r>
          <w:rPr>
            <w:rFonts w:ascii="Cambria Math" w:hAnsi="Cambria Math"/>
            <w:szCs w:val="24"/>
            <w:lang w:val="sv-SE" w:eastAsia="zh-CN"/>
          </w:rPr>
          <m:t>-</m:t>
        </m:r>
        <m:func>
          <m:funcPr>
            <m:ctrlPr>
              <w:rPr>
                <w:rFonts w:ascii="Cambria Math" w:hAnsi="Cambria Math"/>
                <w:i/>
                <w:iCs/>
                <w:szCs w:val="24"/>
                <w:lang w:eastAsia="zh-CN"/>
              </w:rPr>
            </m:ctrlPr>
          </m:funcPr>
          <m:fName>
            <m:r>
              <w:rPr>
                <w:rFonts w:ascii="Cambria Math" w:hAnsi="Cambria Math"/>
                <w:szCs w:val="24"/>
                <w:lang w:val="sv-SE"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sv-S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sv-SE" w:eastAsia="zh-CN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i/>
                        <w:iCs/>
                        <w:szCs w:val="24"/>
                        <w:lang w:val="sv-SE" w:eastAsia="zh-CN"/>
                      </w:rPr>
                      <m:t>,i</m:t>
                    </m:r>
                  </m:sub>
                </m:sSub>
              </m:e>
            </m:d>
          </m:e>
        </m:func>
      </m:oMath>
      <w:r w:rsidRPr="00A25747">
        <w:rPr>
          <w:szCs w:val="24"/>
          <w:lang w:val="sv-SE" w:eastAsia="zh-CN"/>
        </w:rPr>
        <w:t>.</w:t>
      </w:r>
    </w:p>
    <w:p w:rsidR="00754794" w:rsidRDefault="00754794" w:rsidP="00754794">
      <w:pPr>
        <w:pStyle w:val="aa"/>
        <w:numPr>
          <w:ilvl w:val="1"/>
          <w:numId w:val="34"/>
        </w:numPr>
        <w:spacing w:after="120" w:line="259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3 (vivo)</w:t>
      </w:r>
    </w:p>
    <w:p w:rsidR="00754794" w:rsidRDefault="00754794" w:rsidP="00754794">
      <w:pPr>
        <w:pStyle w:val="aa"/>
        <w:numPr>
          <w:ilvl w:val="2"/>
          <w:numId w:val="34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No need </w:t>
      </w:r>
      <w:r w:rsidRPr="00C60A5F">
        <w:rPr>
          <w:szCs w:val="24"/>
          <w:lang w:eastAsia="zh-CN"/>
        </w:rPr>
        <w:t xml:space="preserve">to specify starting point or ending point for periodic location report. </w:t>
      </w:r>
    </w:p>
    <w:p w:rsidR="00754794" w:rsidRDefault="00754794" w:rsidP="00754794">
      <w:pPr>
        <w:pStyle w:val="aa"/>
        <w:numPr>
          <w:ilvl w:val="3"/>
          <w:numId w:val="34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szCs w:val="24"/>
          <w:lang w:eastAsia="zh-CN"/>
        </w:rPr>
      </w:pPr>
      <w:r w:rsidRPr="00C60A5F">
        <w:rPr>
          <w:szCs w:val="24"/>
          <w:lang w:eastAsia="zh-CN"/>
        </w:rPr>
        <w:t>As long as UE finishes the measurements during the periodic interval, UE can report the measurements periodically</w:t>
      </w:r>
    </w:p>
    <w:sectPr w:rsidR="0075479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133" w:rsidRPr="00A10429" w:rsidRDefault="001C613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="001C6133" w:rsidRPr="00A10429" w:rsidRDefault="001C613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133" w:rsidRPr="00A10429" w:rsidRDefault="001C613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="001C6133" w:rsidRPr="00A10429" w:rsidRDefault="001C613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87E4E"/>
    <w:multiLevelType w:val="hybridMultilevel"/>
    <w:tmpl w:val="C39E4062"/>
    <w:lvl w:ilvl="0" w:tplc="4C3AD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A730641"/>
    <w:multiLevelType w:val="multilevel"/>
    <w:tmpl w:val="3A7306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03AACDCE"/>
    <w:lvl w:ilvl="0" w:tplc="E70EBC7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5"/>
  </w:num>
  <w:num w:numId="4">
    <w:abstractNumId w:val="12"/>
  </w:num>
  <w:num w:numId="5">
    <w:abstractNumId w:val="5"/>
  </w:num>
  <w:num w:numId="6">
    <w:abstractNumId w:val="20"/>
  </w:num>
  <w:num w:numId="7">
    <w:abstractNumId w:val="4"/>
  </w:num>
  <w:num w:numId="8">
    <w:abstractNumId w:val="19"/>
  </w:num>
  <w:num w:numId="9">
    <w:abstractNumId w:val="26"/>
  </w:num>
  <w:num w:numId="10">
    <w:abstractNumId w:val="26"/>
  </w:num>
  <w:num w:numId="11">
    <w:abstractNumId w:val="1"/>
  </w:num>
  <w:num w:numId="12">
    <w:abstractNumId w:val="8"/>
  </w:num>
  <w:num w:numId="13">
    <w:abstractNumId w:val="7"/>
  </w:num>
  <w:num w:numId="14">
    <w:abstractNumId w:val="24"/>
  </w:num>
  <w:num w:numId="15">
    <w:abstractNumId w:val="26"/>
  </w:num>
  <w:num w:numId="16">
    <w:abstractNumId w:val="26"/>
  </w:num>
  <w:num w:numId="17">
    <w:abstractNumId w:val="18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21"/>
  </w:num>
  <w:num w:numId="29">
    <w:abstractNumId w:val="22"/>
  </w:num>
  <w:num w:numId="30">
    <w:abstractNumId w:val="17"/>
  </w:num>
  <w:num w:numId="31">
    <w:abstractNumId w:val="16"/>
  </w:num>
  <w:num w:numId="32">
    <w:abstractNumId w:val="26"/>
  </w:num>
  <w:num w:numId="33">
    <w:abstractNumId w:val="26"/>
  </w:num>
  <w:num w:numId="34">
    <w:abstractNumId w:val="23"/>
  </w:num>
  <w:num w:numId="35">
    <w:abstractNumId w:val="3"/>
  </w:num>
  <w:num w:numId="36">
    <w:abstractNumId w:val="15"/>
  </w:num>
  <w:num w:numId="37">
    <w:abstractNumId w:val="26"/>
  </w:num>
  <w:num w:numId="3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876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F0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33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0E77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794"/>
    <w:rsid w:val="0075490F"/>
    <w:rsid w:val="00754E86"/>
    <w:rsid w:val="0075738A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399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5C5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37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71F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B3E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F8A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E91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188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131E9D-2EAC-4F96-A0B2-9676EC18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F43188"/>
    <w:pPr>
      <w:numPr>
        <w:ilvl w:val="3"/>
      </w:numPr>
      <w:outlineLvl w:val="3"/>
    </w:pPr>
    <w:rPr>
      <w:sz w:val="21"/>
    </w:rPr>
  </w:style>
  <w:style w:type="paragraph" w:styleId="5">
    <w:name w:val="heading 5"/>
    <w:basedOn w:val="4"/>
    <w:next w:val="a"/>
    <w:link w:val="5Char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43188"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614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6145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SGS Table Basic 1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8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表段落11,清單段落1,リスト段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4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a"/>
    <w:uiPriority w:val="34"/>
    <w:qFormat/>
    <w:locked/>
    <w:rsid w:val="00A603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4</cp:revision>
  <dcterms:created xsi:type="dcterms:W3CDTF">2022-08-23T14:56:00Z</dcterms:created>
  <dcterms:modified xsi:type="dcterms:W3CDTF">2022-08-25T16:54:00Z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(3)Rl//TsLDxvOEEdFXQbNkXmCPTm5Qc8HO0q81v+ILNigcrGz6wxncza2+QdFOTt8KJ0lt4H57
L9ckpNK7OmEbbjRllsfCDcp/jM36aiRPrYUtoN4/bz7VODWzDikLSN48ooLj9BciiKBQt3zH
ivzL30PlYqR0cEH4WXcaZ5mPwCFInXxVLhkmOOr/7RRPc3I5BTv7yRKELkv2pGzxGT9e23cB
xFizgRNUr/SH98waKb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MRHgLKsolpgM6bTR+h0g6MYWBjXjWHXqw6CV0ZQZ3REDcDCAgSWten
t26vBXpteUSeZzXvMKA9YYs/ikJL3mfHZMGohgMZiwjWcyHeDNqrfimpaKzJnmLwowvgCth8
Zbm4W94fMnzS8YwfD8MK149STqEGxpkDaEItAq9MrcVcBFojw1sT71UuB/xnPHrtZKtyQ8e2
S5dg4nuY1kU/4u5KJuoKK+Wk/BWn+dTdGnp5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etO0gGiaULP6ApIFCTsB9Oc=</vt:lpwstr>
  </property>
</Properties>
</file>